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2016 94 vom 1. Februar 2017</w:t>
      </w:r>
    </w:p>
    <w:p>
      <w:r>
        <w:t>GR Gerichte, 2017-02-01, DE</w:t>
      </w:r>
    </w:p>
    <w:p>
      <w:r>
        <w:rPr>
          <w:b/>
        </w:rPr>
        <w:t xml:space="preserve">Quelle: </w:t>
      </w:r>
      <w:r>
        <w:t>https://mcp.opencaselaw.ch/entscheid/gr_gerichte_U 2016 94</w:t>
      </w:r>
    </w:p>
    <w:p>
      <w:r>
        <w:t>FR: GR_GERICHTE U 2016 94 du 1 février 2017</w:t>
      </w:r>
    </w:p>
    <w:p>
      <w:r>
        <w:t>IT: GR_GERICHTE U 2016 94 del 1 febbraio 2017</w:t>
      </w:r>
    </w:p>
    <w:p>
      <w:pPr>
        <w:pStyle w:val="Heading2"/>
      </w:pPr>
      <w:r>
        <w:t>Regeste</w:t>
      </w:r>
    </w:p>
    <w:p>
      <w:r>
        <w:t>Sozialhilfe | Beschwerde</w:t>
      </w:r>
    </w:p>
    <w:p>
      <w:pPr>
        <w:pStyle w:val="Heading2"/>
      </w:pPr>
      <w:r>
        <w:t>Erwägungen</w:t>
      </w:r>
    </w:p>
    <w:p>
      <w:r>
        <w:rPr>
          <w:b/>
        </w:rPr>
        <w:t>E. 3</w:t>
      </w:r>
    </w:p>
    <w:p>
      <w:r>
        <w:t>Gegen diese Verfügung erhob der anwaltlich vertretene A._____ (nachfol- gend Beschwerdeführer) am 1. November 2016 Beschwerde beim Verwal- tungsgericht des Kantons Graubünden und beantragte deren Aufhebung sowie die Rückweisung der Angelegenheit zum Neuentscheid an die Ge- meinde. Ausserdem beantragte er die unentgeltliche Rechtspflege für das vorliegende Verfahren. Begründend führte er aus, dass die Gemeinde di- verse unzulässige Korrekturen des Berechnungsblattes vorgenommen habe, sodass der Schwellenwert nicht überschritten werde und deshalb auch keine Sozialhilfe ausgerichtet werden müsse. Erstens sei der von der Gemeinde veranschlagte Privatanteil-Abzug von 66 % betreffend die Auto- kosten rechtswidrig. Zweitens sei es willkürlich und rechtswidrig, dass die Gemeinde den Einkommensfreibetrag von Fr. 500.-- ohne Begründung ge- strichen habe. Drittens sei ihre Praxis, den 13. Monatslohn monatlich mit Fr. 225.15 (recte: Fr. 255.15) als Einkommen zu berücksichtigen, rechts- widrig. Schliesslich seien die Gesundheitskosten bei der Erstellung des Budgets unzulässigerweise nicht berücksichtigt worden. Gemäss den eige- nen Berechnungen resultiere ein Fehlbetrag von total Fr. 708.-- pro Monat.</w:t>
      </w:r>
    </w:p>
    <w:p>
      <w:r>
        <w:rPr>
          <w:b/>
        </w:rPr>
        <w:t>E. 4</w:t>
      </w:r>
    </w:p>
    <w:p>
      <w:r>
        <w:t>In ihrer Vernehmlassung vom 18. November 2016 schloss die Gemeinde (nachfolgend Beschwerdegegnerin) auf Abweisung der Beschwerde und nahm zu den einzelnen gerügten Punkten auf dem Berechnungsblatt Stel- lung. Im Zusammenhang mit der Berechnung der Autokosten seien die An-</w:t>
      </w:r>
    </w:p>
    <w:p>
      <w:r>
        <w:t>- 3 - zahl Arbeitstage dahingehend zu korrigieren, dass mit 19.5 Arbeitsta- gen/Monat gerechnet werden müsse, was zu variablen monatlichen Fahr- kosten von Fr. 34.40 führe. Die monatlichen Fixkosten würden aufgrund der hohen Benutzung des Autos zu privaten Zwecken des Beschwerdefüh- rers lediglich zu einem Drittel berücksichtigt und betrügen wie verfügt Fr. 74.35. Hinsichtlich des Einkommensfreibetrages sei bereits mit verwal- tungsgerichtlichem Urteil U 15 21 vom 19. Mai 2015 ausgeführt worden, dass in einem ersten Schritt die Anspruchsberechtigung ohne Berücksich- tigung des Einkommensfreibetrages zu berechnen sei. Auch bei den Ge- sundheitskosten handle es sich um Beträge, welche nicht bei der Berech- nung der Eintrittsschwelle, sondern erst nach festgestellter Bedürftigkeit zu berücksichtigen seien. Schliesslich sei der anteilsmässig berücksichtigte 13. Monatslohn in Höhe von Fr. 255.15 pro Monat ein vertraglich verein- barter Anspruch und für die Bemessung der Eintrittsschwelle zu berück- sichtigen.</w:t>
      </w:r>
    </w:p>
    <w:p>
      <w:r>
        <w:rPr>
          <w:b/>
        </w:rPr>
        <w:t>E. 4.25</w:t>
      </w:r>
    </w:p>
    <w:p>
      <w:r>
        <w:t>Stunden à Fr. 200.-- (vgl. Art. 5 HV). Dazu kommt eine anteilige Pau- schale für Fotokopien und Porti in Höhe von Fr. 8.15, was total Fr. 926.80 (inkl. 8 % MWST) ergibt. Damit geht das entsprechende Honorar als Aus- lage für die unentgeltliche Rechtsverbeiständung zu Lasten der Gerichts- kasse. Der Beschwerdeführer ist gemäss Art. 77 VRG verpflichtet, die ihm vorge- schossenen Vertretungskosten (Fr. 926.80) zurückzuerstatten, falls er dazu dereinst aufgrund verbesserter Einkommens- oder Vermögensver- hältnisse im Stande sein sollte. d) Der zur Hälfte obsiegenden Beschwerdegegnerin steht praxisgemäss kein Anspruch auf Ersatz der Parteikosten zu (vgl. Art. 78 Abs. 2 VRG). Demnach erkennt das Gericht:</w:t>
      </w:r>
    </w:p>
    <w:p>
      <w:r>
        <w:rPr>
          <w:b/>
        </w:rPr>
        <w:t>E. 5</w:t>
      </w:r>
    </w:p>
    <w:p>
      <w:r>
        <w:t>Mit Replik vom 25. November 2016 hielt der Beschwerdeführer an seinen Rechtsbegehren fest und äusserte sich zu den strittigen Punkten. Der 13. Monatslohn dürfe und könne erst bei Erhalt angerechnet werden und könne deshalb auch nicht bei der Bemessung der Eintrittsschwelle berück- sichtigt werden. Die Beschwerdegegnerin habe ausserdem unzulässiger- weise die Gesundheitskosten nicht berücksichtigt. An der Berechnung der Autokosten werde festgehalten. Dem Argument der Beschwerdegegnerin, dass es sich beim Auto des Beschwerdeführers um eine teure Limousine handle, müsse entgegen gehalten werden, dass der Beschwerdeführer es sich in seiner Situation nicht leisten könne, ein in der Anschaffung teureres, dafür im Unterhalt günstigeres Auto zu kaufen.</w:t>
      </w:r>
    </w:p>
    <w:p>
      <w:r>
        <w:rPr>
          <w:b/>
        </w:rPr>
        <w:t>E. 6</w:t>
      </w:r>
    </w:p>
    <w:p>
      <w:r>
        <w:t>a) Im Weiteren moniert der Beschwerdeführer, dass die Gesundheitskosten nicht berücksichtigt worden seien. Zwar beziehe er die Individuelle Prämi- enverbilligung (IPV), doch decke diese nicht alle Prämien der Grundversi- cherung. Daher verbleibe ein Manko von Fr. 39.-- pro Monat. Gemäss SKOS-Richtlinien B.5.I sei jener Teil der Prämien für die obligatorische Krankenversicherung, den hilfsbedürftige Personen allenfalls selbst bezah- len müssen, als Aufwandposition im Unterstützungsbudget zu berücksich- tigen, ebenso wie die Kosten für Selbstbehalte und Franchisen. Auch die Arzt- und Zahnarztkosten seien nicht berücksichtigt worden. Die Beschwer-</w:t>
      </w:r>
    </w:p>
    <w:p>
      <w:r>
        <w:t>- 10 - degegnerin hingegen ist der Ansicht, dass es sich bei den Gesundheitskos- ten um Beträge handle, welche nicht bei der Berechnung der Eintritts- schwelle, sondern erst nach festgestellter Bedürftigkeit zu berücksichtigen seien. Das Manko bei den Krankenkassenprämien in Höhe von Fr. 39.-- pro Monat würde in einem solchen Fall die volle Prämienverbilligung aus- lösen und dieses vollständig decken. Nur darüber hinaus anfallende Prä- mienanteile seien gemäss der Beschwerdegegnerin im Unterstützungs- budget zu berücksichtigen. b) Vorliegend sind die vom Beschwerdeführer geltend gemachten Arzt- und Zahnarztkosten nicht belegt. Die Parteien verkennen, dass die IPV lediglich von einem Durchschnittswert ("Richtprämie", durch die Regierung festge- legt) ausgeht und sich demzufolge nicht an der effektiven Prämienbelas- tung orientiert. Dies kann zur Folge haben, dass entweder zu viel IPV aus- bezahlt wird, oder eben die IPV die effektiven Prämien nicht deckt. Eine "volle IPV" meint nicht eine volle Deckung. Eine IPV-Verfügung fehlt. Ins Recht gelegt ist lediglich eine Zusammenstellung der ÖKK, welche ein mo- natliches Manko von Fr. 39.-- zeigt (vgl. Prämienabrechnung Abrechnungs- nummer 1018669354 vom 12. September 2016 in beschwerdeführerischer Beilage [Bf-act.] 3). Wie vom Beschwerdeführer korrekt angeführt, ist jener Teil der Prämien für die obligatorische Krankenversicherung, den bedürf- tige Personen allenfalls selbst bezahlen müssen, als Aufwandposition im Unterstützungsbudget zu berücksichtigen, ebenso wie die Kosten für Selbstbehalte und Franchisen (vgl. SKOS-Richtlinien B.5.I). Die Be- schwerde ist damit in diesem Punkt gutzuheissen.</w:t>
      </w:r>
    </w:p>
    <w:p>
      <w:r>
        <w:rPr>
          <w:b/>
        </w:rPr>
        <w:t>E. 7</w:t>
      </w:r>
    </w:p>
    <w:p>
      <w:r>
        <w:t>a) Mit Verfügung vom 12. Oktober 2016 wurden dem Beschwerdeführer Fahr- kosten in Höhe von Fr. 107.85 angerechnet. In ihrer Vernehmlassung vom 18. November 2016 korrigierte die Beschwerdeführerin die Anzahl Arbeits- tage dahingehend, dass mit 19.5 Arbeitstagen/Monat gerechnet werden müsse, was zu variablen monatlichen Fahrkosten von Fr. 34.40 führe. Die</w:t>
      </w:r>
    </w:p>
    <w:p>
      <w:r>
        <w:t>- 11 - monatlichen Fixkosten in Höhe von Fr. 223.-- würden aufgrund der hohen Benutzung des Autos zu privaten Zwecken des Beschwerdeführers ledig- lich zu einem Drittel berücksichtigt und betrügen damit wie verfügt Fr. 74.35. Der Beschwerdeführer hingegen macht geltend, dass sich der fixe Fahrkostenbetrag auf Fr. 133.70 pro Monat belaufe. Da er ausschliess- lich wegen seiner Arbeit auf das Auto angewiesen sei, sei der Privatanteil- Abzug von 66 % für die Fixkosten unangemessen bzw. rechtswidrig. Aus- serdem könne er es sich nicht leisten, ein in der Anschaffung teureres, dafür im Unterhalt günstigeres Auto zu kaufen. Die variablen monatlichen Kosten betrügen Fr. 35.30. b) Zwischen den Parteien besteht weitgehend Einigkeit bezüglich der varia- blen monatlichen Kosten (Beschwerdeführer: Fr. 35.30 pro Monat [vgl. Be- schwerde vom 1. November 2106 Rz. 4; Beschwerdegegnerin: Fr. 34.40 [vgl. Vernehmlassung vom 18. November 2016 S. 2]). Mit Bezug auf die Fixkosten anerkannte die Beschwerdegegnerin die Kosten für die Haft- pflichtversicherung, Service- und Reparaturkosten sowie die Verkehrs- steuer und berücksichtigte in der Bedarfsberechnung einen Drittel (1/3 von Fr. 223.-- = Fr. 74.35), da das Fahrzeug zu zwei Dritteln privat gebraucht werde (vgl. Vernehmlassung S. 2). Bezüglich des Privatanteil-Abzugs ist der Beschwerdegegnerin zuzustimmen: Es mag zwar zutreffen, dass der Beschwerdeführer das Fahrzeug wegen der Schichtarbeit angeschafft hat. Aus den Akten und Darlegungen ergibt sich indessen, dass er dieses aus- gedehnt und regelmässig privat nutzt. Mit den blossen Fahrten an den Ar- beitsplatz lässt sich der hohe Kilometerzuwachs nicht erklären. Die Auftei- lung der Fixkosten von einem Drittel beruflich und zwei Dritteln privat er- scheint aufgrund der gefahrenen Kilometerzahl deshalb als angemessen. Bezüglich der Höhe der Versicherungskosten ist mit der Beschwerdegeg- nerin einig zu gehen, dass nur die Haftpflichtversicherung zuzüglich Ver- kehrssteuer zu berücksichtigen sind. An dieser Stelle ist festzuhalten, dass</w:t>
      </w:r>
    </w:p>
    <w:p>
      <w:r>
        <w:t>- 12 - es grundsätzlich nicht korrekt ist, wenn – wie die Beschwerdegegnerin es zugunsten des Beschwerdeführers getan hat – bei den Fixkosten einmalige bzw. nur periodisch anfallende Unterhaltskosten (etwa neue Pneus, Wisch- blätter, Ölfilter usw.) auf einen monatlichen Betrag umgerechnet werden. Solche einmaligen bzw. allenfalls länger anhaltenden Ausgaben sind – wenn sie effektiv anfallen – allenfalls zu entschädigen (situationsbedingte Leistungen). Abschliessend gilt anzumerken, dass sich der Beschwerde- führer zwar ein Occasionsfahrzeug angeschafft hat, jedoch ein Modell, wel- ches im Unterhalt sicher (zu) teuer ist. Entsprechend hat er diese dadurch verursachten Mehrkosten selber zu tragen. Die Berechnung der Beschwer- degegnerin (Fr. 74.35 Fixkostenanteil zu Lasten des Beschwerdeführers) erscheint somit sogar zugunsten des Beschwerdeführers, womit die Be- schwerde in diesem Punkt abzuweisen ist.</w:t>
      </w:r>
    </w:p>
    <w:p>
      <w:r>
        <w:rPr>
          <w:b/>
        </w:rPr>
        <w:t>E. 8</w:t>
      </w:r>
    </w:p>
    <w:p>
      <w:r>
        <w:t>Somit ist die Beschwerde mit Bezug auf den 13. Monatslohn und die Ge- sundheitskosten gutzuheissen und die Sache zum Neuentscheid im Sinne der Erwägungen an die Beschwerdegegnerin zurückzuweisen. Hinsichtlich der Berücksichtigung des Einkommensfreibetrages sowie der Autokosten ist die Beschwerde abzuweisen. Aus vorstehend Gesagtem folgt, dass der Beschwerdeführer mit seinen Anträgen zur Hälfte obsiegt.</w:t>
      </w:r>
    </w:p>
    <w:p>
      <w:r>
        <w:rPr>
          <w:b/>
        </w:rPr>
        <w:t>E. 9</w:t>
      </w:r>
    </w:p>
    <w:p>
      <w:r>
        <w:t>a) Die Behörde kann durch verfahrensleitende Verfügung oder mit dem Entscheid in der Hauptsache einer Partei, die nicht über die erforderlichen Mittel verfügt, auf Antrag die unentgeltliche Prozessführung bewilligen, sofern ihr Rechtsstreit nicht offensichtlich mutwillig oder von vornherein aussichtslos ist (Art. 76 Abs. 1 VRG). Vorliegend verfügt der Beschwerdeführer offensichtlich nicht über die erforderlichen Mittel und der Rechtsstreit ist nicht aussichtslos, weshalb ihm die unentgeltliche Rechtspflege zu gewähren und in der Person von Rechtsanwalt Dr. iur. Jean-Pierre Menge ein unentgeltlicher Anwalt (auf Kosten des Staates) zu bestellen ist.</w:t>
      </w:r>
    </w:p>
    <w:p>
      <w:r>
        <w:t>- 13 - b) Entsprechend dem Ausgang des Verfahrens (vgl. Art. 73 Abs. 1 VRG) sind die Gerichtskosten je zur Hälfte von der Beschwerdegegnerin und vom Be- schwerdeführer zu tragen. Aufgrund der gewährten unentgeltlichen Rechtspflege wird der Beschwerdeführer von der Leistung der Gerichtskos- ten befreit. Vorbehalten bleibt Art. 77 Abs. 1 VRG, wonach der Beschwer- deführer das Erlassene zu erstatten hat, wenn sich seine Einkommens- und Vermögensverhältnisse gebessert haben und er hierzu in der Lage ist. c) Nach Art. 78 Abs. 1 VRG wird die unterliegende Partei in der Regel ver- pflichtet, der obsiegenden Partei die durch den Rechtsstreit verursachten notwendigen Kosten zu ersetzen. Die Beschwerdegegnerin unterlag zur Hälfte und hat den Beschwerdefüh- rer in diesem Umfang zu entschädigen. Rechtsanwalt Dr. iur. Jean-Pierre Menge reichte mit Schreiben vom 25. November 2016 seine Kostennote ein, worin ein Zeitaufwand von 8.5 Stunden geltend gemacht wird. Dieser erscheint angesichts der sich stellenden Sach- und Rechtsfragen als ge- rechtfertigt. Der Zeitaufwand von 8.5 Stunden zum Stundenansatz von Fr. 250.-- ergibt zuzüglich einer Pauschale für Fotokopien und Porti in Höhe von Fr. 16.30 total Fr. 2'312.60 (inkl. 8 % MWST). Entsprechend dem Ver- fahrensausgang geht davon die Hälfte, d.h. Fr. 1'156.30, zulasten der Be- schwerdegegnerin. Die Entschädigung richtet sich gemäss Art. 76 Abs. 3 VRG im Falle der unentgeltlichen Rechtspflege nach der Anwaltsgesetzgebung. Gemäss Art. 5 der Verordnung über die Bemessung des Honorars der Rechtsan- wältinnen und Rechtsanwälte (Honorarverordnung, HV; BR 310.250) wird für den berechtigten Aufwand der unentgeltlichen Vertretung ein Honorar von Fr. 200.-- pro Stunde zuzüglich notwendige Barauslagen und Mehr- wertsteuer ausgerichtet. Angesichts des Unterliegens des Beschwerdefüh-</w:t>
      </w:r>
    </w:p>
    <w:p>
      <w:r>
        <w:t>- 14 - rers zur Hälfte beträgt der zu entschädigende anteilsmässige Zeitaufwand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